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030 - ITCF Félicien Rops Namur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 adjoint/e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Directeur/trice adjoint/e.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Directeur/trice adjoint/e pour </w:t>
      </w:r>
      <w:r>
        <w:rPr>
          <w:sz w:val="22"/>
          <w:szCs w:val="22"/>
        </w:rPr>
        <w:t>l’ITCF Félicien Rops Namur</w:t>
      </w:r>
      <w:r>
        <w:rPr>
          <w:sz w:val="22"/>
        </w:rPr>
        <w:t xml:space="preserve">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</w:t>
      </w:r>
      <w:r>
        <w:rPr>
          <w:sz w:val="22"/>
          <w:szCs w:val="22"/>
        </w:rPr>
        <w:t>ITCF</w:t>
      </w:r>
      <w:r>
        <w:rPr>
          <w:b/>
          <w:sz w:val="22"/>
        </w:rPr>
        <w:t xml:space="preserve"> Félicien Rops Namur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l’ITCF</w:t>
      </w:r>
      <w:r>
        <w:rPr>
          <w:b/>
          <w:sz w:val="22"/>
          <w:szCs w:val="22"/>
        </w:rPr>
        <w:t xml:space="preserve"> Félicien Rops Namur</w:t>
      </w:r>
      <w:r>
        <w:rPr>
          <w:b/>
          <w:sz w:val="22"/>
        </w:rPr>
        <w:t xml:space="preserve"> ?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WBE DA 2024 030 – ITCF Rops Namur</w:t>
    </w:r>
    <w:r>
      <w:rPr>
        <w:sz w:val="16"/>
        <w:szCs w:val="16"/>
        <w:highlight w:val="yellow"/>
      </w:rPr>
      <w:t xml:space="preserve">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l16MK2eeHhoZNg2Dtzl58cqXV/EcgL3LYjYNcyUPdEVnKX9q7v4UQupxX4YxFI3kLEwMiXjUaCFf8ovFbwaQjg==" w:salt="o1RsggXoS1nG5PzZ9ElJd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C7AD4-FB2F-4546-B004-08BDCAC4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1008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2024-04-18T07:24:00Z</dcterms:created>
  <dcterms:modified xsi:type="dcterms:W3CDTF">2024-04-18T07:24:00Z</dcterms:modified>
</cp:coreProperties>
</file>